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068BC2" w14:textId="77777777" w:rsidR="00736FCB" w:rsidRPr="00085B67" w:rsidRDefault="00033649">
      <w:pPr>
        <w:pStyle w:val="Heading1"/>
        <w:rPr>
          <w:sz w:val="24"/>
          <w:szCs w:val="24"/>
        </w:rPr>
      </w:pPr>
      <w:r w:rsidRPr="00085B67">
        <w:rPr>
          <w:sz w:val="24"/>
          <w:szCs w:val="24"/>
        </w:rPr>
        <w:t>Standard Operating Procedure</w:t>
      </w:r>
    </w:p>
    <w:p w14:paraId="342C6F96" w14:textId="77777777" w:rsidR="00736FCB" w:rsidRPr="00085B67" w:rsidRDefault="00E80A21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 </w:t>
      </w:r>
      <w:r w:rsidR="00033649" w:rsidRPr="00085B67">
        <w:rPr>
          <w:sz w:val="24"/>
          <w:szCs w:val="24"/>
        </w:rPr>
        <w:t>Purpose</w:t>
      </w:r>
      <w:bookmarkStart w:id="0" w:name="_GoBack"/>
      <w:bookmarkEnd w:id="0"/>
    </w:p>
    <w:p w14:paraId="27C1ACBA" w14:textId="77777777" w:rsidR="00E80A21" w:rsidRDefault="008066D2" w:rsidP="003A321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482420">
        <w:rPr>
          <w:rFonts w:ascii="Arial" w:hAnsi="Arial" w:cs="Arial"/>
        </w:rPr>
        <w:t xml:space="preserve">University Purchasing Card (P-Card) is a streamlined payment method that allows staff and faculty to pay for goods and services in an inexpensive and efficient manner. The P-Card is intended for use for purchasing small-dollar ($4,999 or less), low-risk goods and services for departmental needs, not including travel expenses. All items purchased are the property of UNL. </w:t>
      </w:r>
    </w:p>
    <w:p w14:paraId="4C0C303D" w14:textId="432828FF" w:rsidR="00482420" w:rsidRPr="00085B67" w:rsidRDefault="009A4C25" w:rsidP="003A321C">
      <w:pPr>
        <w:spacing w:after="200" w:line="276" w:lineRule="auto"/>
        <w:rPr>
          <w:rFonts w:ascii="Arial" w:hAnsi="Arial" w:cs="Arial"/>
        </w:rPr>
      </w:pPr>
      <w:r>
        <w:rPr>
          <w:rFonts w:ascii="Arial" w:hAnsi="Arial" w:cs="Arial"/>
        </w:rPr>
        <w:t>The College of Engineering will</w:t>
      </w:r>
      <w:r w:rsidR="00482420">
        <w:rPr>
          <w:rFonts w:ascii="Arial" w:hAnsi="Arial" w:cs="Arial"/>
        </w:rPr>
        <w:t xml:space="preserve"> determine who is eligible to apply, set appropriate spending limits, and monitor activity for appropriate use by identifying approvers and reconcilers. Any staff or faculty in the </w:t>
      </w:r>
      <w:r>
        <w:rPr>
          <w:rFonts w:ascii="Arial" w:hAnsi="Arial" w:cs="Arial"/>
        </w:rPr>
        <w:t>center</w:t>
      </w:r>
      <w:r w:rsidR="00482420">
        <w:rPr>
          <w:rFonts w:ascii="Arial" w:hAnsi="Arial" w:cs="Arial"/>
        </w:rPr>
        <w:t xml:space="preserve"> are required to complete training prior to being granted a P-Card. All participants in the program must also assure that the card may not be shared or used for personal purchases. </w:t>
      </w:r>
      <w:r w:rsidR="00211DB0">
        <w:rPr>
          <w:rFonts w:ascii="Arial" w:hAnsi="Arial" w:cs="Arial"/>
        </w:rPr>
        <w:t xml:space="preserve">All Pcard holders must follow UNL Pcard policy found </w:t>
      </w:r>
      <w:hyperlink r:id="rId8" w:history="1">
        <w:r w:rsidR="00482420" w:rsidRPr="00482420">
          <w:rPr>
            <w:rStyle w:val="Hyperlink"/>
            <w:rFonts w:ascii="Arial" w:hAnsi="Arial" w:cs="Arial"/>
          </w:rPr>
          <w:t>here</w:t>
        </w:r>
      </w:hyperlink>
      <w:r w:rsidR="00482420">
        <w:rPr>
          <w:rFonts w:ascii="Arial" w:hAnsi="Arial" w:cs="Arial"/>
        </w:rPr>
        <w:t xml:space="preserve">. </w:t>
      </w:r>
    </w:p>
    <w:p w14:paraId="0AA377BE" w14:textId="77777777"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Items Needed</w:t>
      </w:r>
    </w:p>
    <w:p w14:paraId="3C3576DC" w14:textId="77777777" w:rsidR="005526FC" w:rsidRDefault="00482420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Purchasing Card (P-Card)</w:t>
      </w:r>
    </w:p>
    <w:p w14:paraId="6A1DB0A8" w14:textId="77777777" w:rsidR="00482420" w:rsidRDefault="00482420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Receipts for good or services purchased</w:t>
      </w:r>
    </w:p>
    <w:p w14:paraId="100F1BF7" w14:textId="77777777" w:rsidR="00482420" w:rsidRDefault="00482420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Purchasing Card: Transaction Voucher form</w:t>
      </w:r>
    </w:p>
    <w:p w14:paraId="72158E1E" w14:textId="75DD9139" w:rsidR="009A4C25" w:rsidRDefault="009A4C25" w:rsidP="009A4C25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Cost object or WBS number for billing purposes</w:t>
      </w:r>
    </w:p>
    <w:p w14:paraId="435EC4D8" w14:textId="77777777" w:rsidR="00C822B3" w:rsidRDefault="00C822B3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GL Account</w:t>
      </w:r>
    </w:p>
    <w:p w14:paraId="76B98810" w14:textId="46A5CE50" w:rsidR="00211DB0" w:rsidRDefault="00211DB0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Pcard Training </w:t>
      </w:r>
    </w:p>
    <w:p w14:paraId="027D37C0" w14:textId="0E8C6AFE" w:rsidR="00B742F9" w:rsidRDefault="00B742F9" w:rsidP="0094639E">
      <w:pPr>
        <w:pStyle w:val="ListParagraph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List of Prohibited items found </w:t>
      </w:r>
      <w:hyperlink r:id="rId9" w:history="1">
        <w:r w:rsidRPr="00B742F9">
          <w:rPr>
            <w:rStyle w:val="Hyperlink"/>
            <w:rFonts w:ascii="Arial" w:hAnsi="Arial" w:cs="Arial"/>
          </w:rPr>
          <w:t>here.</w:t>
        </w:r>
      </w:hyperlink>
    </w:p>
    <w:p w14:paraId="46400369" w14:textId="77777777" w:rsidR="008066D2" w:rsidRPr="005526FC" w:rsidRDefault="008066D2" w:rsidP="005526FC">
      <w:pPr>
        <w:rPr>
          <w:rFonts w:ascii="Arial" w:hAnsi="Arial" w:cs="Arial"/>
        </w:rPr>
      </w:pPr>
    </w:p>
    <w:p w14:paraId="20CFA425" w14:textId="77777777" w:rsidR="00736FCB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>Procedure</w:t>
      </w:r>
    </w:p>
    <w:p w14:paraId="1162A422" w14:textId="08A38D86" w:rsidR="002F49DF" w:rsidRDefault="002F49DF" w:rsidP="00C822B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Receive a</w:t>
      </w:r>
      <w:r w:rsidR="00211DB0">
        <w:rPr>
          <w:rFonts w:ascii="Arial" w:hAnsi="Arial" w:cs="Arial"/>
        </w:rPr>
        <w:t>n authorized</w:t>
      </w:r>
      <w:r>
        <w:rPr>
          <w:rFonts w:ascii="Arial" w:hAnsi="Arial" w:cs="Arial"/>
        </w:rPr>
        <w:t xml:space="preserve"> request to make a purchase via e-mail or </w:t>
      </w:r>
      <w:r w:rsidR="00211DB0">
        <w:rPr>
          <w:rFonts w:ascii="Arial" w:hAnsi="Arial" w:cs="Arial"/>
        </w:rPr>
        <w:t>signed purchase request form (PRF).</w:t>
      </w:r>
    </w:p>
    <w:p w14:paraId="1047D06B" w14:textId="3EB2E0AA" w:rsidR="002F49DF" w:rsidRPr="002F49DF" w:rsidRDefault="002F49DF" w:rsidP="00B93F10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2F49DF">
        <w:rPr>
          <w:rFonts w:ascii="Arial" w:hAnsi="Arial" w:cs="Arial"/>
        </w:rPr>
        <w:t>Check eShop to determine if item is available</w:t>
      </w:r>
      <w:r w:rsidR="00211DB0">
        <w:rPr>
          <w:rFonts w:ascii="Arial" w:hAnsi="Arial" w:cs="Arial"/>
        </w:rPr>
        <w:t>.</w:t>
      </w:r>
      <w:r w:rsidRPr="002F49DF">
        <w:rPr>
          <w:rFonts w:ascii="Arial" w:hAnsi="Arial" w:cs="Arial"/>
        </w:rPr>
        <w:t xml:space="preserve"> If item is not available in eShop, and requested item meets</w:t>
      </w:r>
      <w:r w:rsidR="00211DB0">
        <w:rPr>
          <w:rFonts w:ascii="Arial" w:hAnsi="Arial" w:cs="Arial"/>
        </w:rPr>
        <w:t xml:space="preserve"> is allowable on</w:t>
      </w:r>
      <w:r w:rsidRPr="002F49DF">
        <w:rPr>
          <w:rFonts w:ascii="Arial" w:hAnsi="Arial" w:cs="Arial"/>
        </w:rPr>
        <w:t xml:space="preserve"> a university P-Card, proceed with the purchase.</w:t>
      </w:r>
    </w:p>
    <w:p w14:paraId="58D8E07A" w14:textId="6F61A86E" w:rsidR="00C822B3" w:rsidRPr="00C822B3" w:rsidRDefault="00C822B3" w:rsidP="00C822B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 w:rsidRPr="00C822B3">
        <w:rPr>
          <w:rFonts w:ascii="Arial" w:hAnsi="Arial" w:cs="Arial"/>
        </w:rPr>
        <w:t>Keep all</w:t>
      </w:r>
      <w:r w:rsidR="00887FDE" w:rsidRPr="00C822B3">
        <w:rPr>
          <w:rFonts w:ascii="Arial" w:hAnsi="Arial" w:cs="Arial"/>
        </w:rPr>
        <w:t xml:space="preserve"> receipt</w:t>
      </w:r>
      <w:r w:rsidRPr="00C822B3">
        <w:rPr>
          <w:rFonts w:ascii="Arial" w:hAnsi="Arial" w:cs="Arial"/>
        </w:rPr>
        <w:t xml:space="preserve">s and or/documentation. </w:t>
      </w:r>
    </w:p>
    <w:p w14:paraId="13289BA3" w14:textId="220BBF5E" w:rsidR="00887FDE" w:rsidRPr="00C822B3" w:rsidRDefault="00C822B3" w:rsidP="00887FDE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 w:rsidRPr="00C822B3">
        <w:rPr>
          <w:rFonts w:ascii="Arial" w:hAnsi="Arial" w:cs="Arial"/>
        </w:rPr>
        <w:t>Ther</w:t>
      </w:r>
      <w:r w:rsidR="00887FDE" w:rsidRPr="00C822B3">
        <w:rPr>
          <w:rFonts w:ascii="Arial" w:hAnsi="Arial" w:cs="Arial"/>
        </w:rPr>
        <w:t xml:space="preserve">mal receipts tend to fade over time, make a copy of the receipt and submit both copies to </w:t>
      </w:r>
      <w:r w:rsidR="002F49DF">
        <w:rPr>
          <w:rFonts w:ascii="Arial" w:hAnsi="Arial" w:cs="Arial"/>
        </w:rPr>
        <w:t>the College of Engineering</w:t>
      </w:r>
      <w:r w:rsidR="00887FDE" w:rsidRPr="00C822B3">
        <w:rPr>
          <w:rFonts w:ascii="Arial" w:hAnsi="Arial" w:cs="Arial"/>
        </w:rPr>
        <w:t xml:space="preserve">. </w:t>
      </w:r>
    </w:p>
    <w:p w14:paraId="17E78499" w14:textId="1F187740" w:rsidR="00C822B3" w:rsidRDefault="00211DB0" w:rsidP="00C822B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If authorized request was made by email and department requires a PRF, f</w:t>
      </w:r>
      <w:r w:rsidR="00C822B3" w:rsidRPr="00C822B3">
        <w:rPr>
          <w:rFonts w:ascii="Arial" w:hAnsi="Arial" w:cs="Arial"/>
        </w:rPr>
        <w:t xml:space="preserve">ill out a Purchasing Card: Transaction Voucher form, found </w:t>
      </w:r>
      <w:hyperlink r:id="rId10" w:history="1">
        <w:r w:rsidR="00C822B3" w:rsidRPr="00C822B3">
          <w:rPr>
            <w:rStyle w:val="Hyperlink"/>
            <w:rFonts w:ascii="Arial" w:hAnsi="Arial" w:cs="Arial"/>
          </w:rPr>
          <w:t>here</w:t>
        </w:r>
      </w:hyperlink>
      <w:r w:rsidR="00C822B3" w:rsidRPr="00C822B3">
        <w:rPr>
          <w:rFonts w:ascii="Arial" w:hAnsi="Arial" w:cs="Arial"/>
        </w:rPr>
        <w:t>.</w:t>
      </w:r>
    </w:p>
    <w:p w14:paraId="10031AA2" w14:textId="0C53E28C" w:rsidR="00C822B3" w:rsidRPr="00C822B3" w:rsidRDefault="00211DB0" w:rsidP="00C822B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Print the form, if applicable.</w:t>
      </w:r>
    </w:p>
    <w:p w14:paraId="62216D3A" w14:textId="2AFCCBBE" w:rsidR="00C822B3" w:rsidRPr="00C822B3" w:rsidRDefault="002F49DF" w:rsidP="00C822B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Sign </w:t>
      </w:r>
      <w:r w:rsidR="00C822B3" w:rsidRPr="00C822B3">
        <w:rPr>
          <w:rFonts w:ascii="Arial" w:hAnsi="Arial" w:cs="Arial"/>
        </w:rPr>
        <w:t>whe</w:t>
      </w:r>
      <w:r w:rsidR="00211DB0">
        <w:rPr>
          <w:rFonts w:ascii="Arial" w:hAnsi="Arial" w:cs="Arial"/>
        </w:rPr>
        <w:t>re it says Cardholder signature, if department requires.</w:t>
      </w:r>
    </w:p>
    <w:p w14:paraId="376822A3" w14:textId="6068CF81" w:rsidR="00F34943" w:rsidRDefault="00F34943" w:rsidP="00C822B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Include supporting documentation </w:t>
      </w:r>
      <w:r w:rsidR="00F7643B">
        <w:rPr>
          <w:rFonts w:ascii="Arial" w:hAnsi="Arial" w:cs="Arial"/>
        </w:rPr>
        <w:t>stapled</w:t>
      </w:r>
      <w:r w:rsidR="00211DB0">
        <w:rPr>
          <w:rFonts w:ascii="Arial" w:hAnsi="Arial" w:cs="Arial"/>
        </w:rPr>
        <w:t xml:space="preserve"> (or uploaded/scanned)</w:t>
      </w:r>
      <w:r w:rsidR="00F7643B">
        <w:rPr>
          <w:rFonts w:ascii="Arial" w:hAnsi="Arial" w:cs="Arial"/>
        </w:rPr>
        <w:t xml:space="preserve"> together</w:t>
      </w:r>
      <w:r w:rsidR="00211DB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 the following order:</w:t>
      </w:r>
    </w:p>
    <w:p w14:paraId="31059584" w14:textId="77777777" w:rsidR="00F34943" w:rsidRDefault="00F34943" w:rsidP="009A4C25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Transaction Voucher</w:t>
      </w:r>
    </w:p>
    <w:p w14:paraId="3E45BBAD" w14:textId="77777777" w:rsidR="00F34943" w:rsidRDefault="00F34943" w:rsidP="009A4C25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Invoice</w:t>
      </w:r>
    </w:p>
    <w:p w14:paraId="143DA3B5" w14:textId="77777777" w:rsidR="00F34943" w:rsidRDefault="00F34943" w:rsidP="009A4C25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Receiving documents (packing slip) if possible</w:t>
      </w:r>
    </w:p>
    <w:p w14:paraId="1BBE11A6" w14:textId="77777777" w:rsidR="00F34943" w:rsidRDefault="00F34943" w:rsidP="009A4C25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Request document (email or requisition)</w:t>
      </w:r>
    </w:p>
    <w:p w14:paraId="2FED7004" w14:textId="69E4F488" w:rsidR="00211DB0" w:rsidRDefault="00211DB0" w:rsidP="009A4C25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No tax</w:t>
      </w:r>
    </w:p>
    <w:p w14:paraId="0F85E41E" w14:textId="6976829A" w:rsidR="00211DB0" w:rsidRPr="00B742F9" w:rsidRDefault="00211DB0" w:rsidP="00B742F9">
      <w:pPr>
        <w:pStyle w:val="ListParagraph"/>
        <w:numPr>
          <w:ilvl w:val="1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Business purpose</w:t>
      </w:r>
    </w:p>
    <w:p w14:paraId="65B7DE4D" w14:textId="15A11C55" w:rsidR="00C822B3" w:rsidRPr="00C822B3" w:rsidRDefault="002F49DF" w:rsidP="00C822B3">
      <w:pPr>
        <w:pStyle w:val="ListParagraph"/>
        <w:numPr>
          <w:ilvl w:val="0"/>
          <w:numId w:val="16"/>
        </w:numPr>
        <w:rPr>
          <w:rFonts w:ascii="Arial" w:hAnsi="Arial" w:cs="Arial"/>
        </w:rPr>
      </w:pPr>
      <w:r>
        <w:rPr>
          <w:rFonts w:ascii="Arial" w:hAnsi="Arial" w:cs="Arial"/>
        </w:rPr>
        <w:t>Send</w:t>
      </w:r>
      <w:r w:rsidR="00C822B3" w:rsidRPr="00C822B3">
        <w:rPr>
          <w:rFonts w:ascii="Arial" w:hAnsi="Arial" w:cs="Arial"/>
        </w:rPr>
        <w:t xml:space="preserve"> the </w:t>
      </w:r>
      <w:r>
        <w:rPr>
          <w:rFonts w:ascii="Arial" w:hAnsi="Arial" w:cs="Arial"/>
        </w:rPr>
        <w:t xml:space="preserve">completed </w:t>
      </w:r>
      <w:r w:rsidR="00C822B3" w:rsidRPr="00C822B3">
        <w:rPr>
          <w:rFonts w:ascii="Arial" w:hAnsi="Arial" w:cs="Arial"/>
        </w:rPr>
        <w:t xml:space="preserve">form and supporting documentation to </w:t>
      </w:r>
      <w:r>
        <w:rPr>
          <w:rFonts w:ascii="Arial" w:hAnsi="Arial" w:cs="Arial"/>
        </w:rPr>
        <w:t>the College of Engineering (114 Othmer) for reconciliation</w:t>
      </w:r>
      <w:r w:rsidR="00C822B3" w:rsidRPr="00C822B3">
        <w:rPr>
          <w:rFonts w:ascii="Arial" w:hAnsi="Arial" w:cs="Arial"/>
        </w:rPr>
        <w:t>.</w:t>
      </w:r>
      <w:r w:rsidR="00E5209D">
        <w:rPr>
          <w:rFonts w:ascii="Arial" w:hAnsi="Arial" w:cs="Arial"/>
        </w:rPr>
        <w:t xml:space="preserve"> The form and supporting documentation should be delivered to the College of Engineering within ten working days to allow the charge to be reconciled within a two week period.</w:t>
      </w:r>
    </w:p>
    <w:p w14:paraId="59D8175F" w14:textId="77777777" w:rsidR="00482420" w:rsidRDefault="00482420" w:rsidP="00482420"/>
    <w:p w14:paraId="52058AD3" w14:textId="77777777" w:rsidR="00482420" w:rsidRDefault="00482420" w:rsidP="00482420"/>
    <w:p w14:paraId="39ABAF66" w14:textId="77777777" w:rsidR="00482420" w:rsidRDefault="00482420" w:rsidP="00482420"/>
    <w:p w14:paraId="0A74A15E" w14:textId="77777777" w:rsidR="00482420" w:rsidRDefault="00482420" w:rsidP="00482420"/>
    <w:p w14:paraId="375F474D" w14:textId="77777777" w:rsidR="00482420" w:rsidRDefault="00482420" w:rsidP="00482420"/>
    <w:p w14:paraId="5D3F18A2" w14:textId="77777777" w:rsidR="00482420" w:rsidRPr="00CA6126" w:rsidRDefault="00482420" w:rsidP="00482420"/>
    <w:p w14:paraId="58A0D983" w14:textId="77777777" w:rsidR="00736FCB" w:rsidRPr="00085B67" w:rsidRDefault="00033649">
      <w:pPr>
        <w:pStyle w:val="Heading2"/>
        <w:rPr>
          <w:sz w:val="24"/>
          <w:szCs w:val="24"/>
        </w:rPr>
      </w:pPr>
      <w:r w:rsidRPr="00085B67">
        <w:rPr>
          <w:sz w:val="24"/>
          <w:szCs w:val="24"/>
        </w:rPr>
        <w:t xml:space="preserve">Definitions </w:t>
      </w:r>
    </w:p>
    <w:p w14:paraId="2DC56E8D" w14:textId="77777777" w:rsidR="002E0DA2" w:rsidRPr="00085B67" w:rsidRDefault="00CC777A" w:rsidP="00CC777A">
      <w:pPr>
        <w:tabs>
          <w:tab w:val="left" w:pos="56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0A2EE9A6" w14:textId="77777777" w:rsidR="00E80A21" w:rsidRPr="00085B67" w:rsidRDefault="00E80A21">
      <w:pPr>
        <w:rPr>
          <w:rFonts w:ascii="Arial" w:hAnsi="Arial" w:cs="Arial"/>
        </w:rPr>
      </w:pPr>
    </w:p>
    <w:sectPr w:rsidR="00E80A21" w:rsidRPr="00085B67">
      <w:headerReference w:type="default" r:id="rId11"/>
      <w:footerReference w:type="default" r:id="rId12"/>
      <w:pgSz w:w="12240" w:h="15840" w:code="1"/>
      <w:pgMar w:top="1440" w:right="1800" w:bottom="1440" w:left="180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A98DBB" w14:textId="77777777" w:rsidR="00867746" w:rsidRDefault="00867746">
      <w:r>
        <w:separator/>
      </w:r>
    </w:p>
  </w:endnote>
  <w:endnote w:type="continuationSeparator" w:id="0">
    <w:p w14:paraId="414AB61E" w14:textId="77777777" w:rsidR="00867746" w:rsidRDefault="00867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F2179C" w14:textId="77777777" w:rsidR="00736FCB" w:rsidRDefault="00033649">
    <w:pPr>
      <w:pStyle w:val="Footer"/>
    </w:pPr>
    <w:r>
      <w:t>Documents: SOP short-form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3644BD" w14:textId="77777777" w:rsidR="00867746" w:rsidRDefault="00867746">
      <w:r>
        <w:separator/>
      </w:r>
    </w:p>
  </w:footnote>
  <w:footnote w:type="continuationSeparator" w:id="0">
    <w:p w14:paraId="036DBC42" w14:textId="77777777" w:rsidR="00867746" w:rsidRDefault="008677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23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4" w:space="0" w:color="C0C0C0"/>
        <w:insideV w:val="single" w:sz="4" w:space="0" w:color="C0C0C0"/>
      </w:tblBorders>
      <w:tblLook w:val="0000" w:firstRow="0" w:lastRow="0" w:firstColumn="0" w:lastColumn="0" w:noHBand="0" w:noVBand="0"/>
    </w:tblPr>
    <w:tblGrid>
      <w:gridCol w:w="2088"/>
      <w:gridCol w:w="2820"/>
      <w:gridCol w:w="2568"/>
      <w:gridCol w:w="1747"/>
    </w:tblGrid>
    <w:tr w:rsidR="00736FCB" w14:paraId="25F8DAB3" w14:textId="77777777">
      <w:trPr>
        <w:trHeight w:val="360"/>
      </w:trPr>
      <w:tc>
        <w:tcPr>
          <w:tcW w:w="1620" w:type="dxa"/>
          <w:vMerge w:val="restart"/>
          <w:vAlign w:val="center"/>
        </w:tcPr>
        <w:bookmarkStart w:id="1" w:name="_MON_1067836353"/>
        <w:bookmarkEnd w:id="1"/>
        <w:bookmarkStart w:id="2" w:name="_MON_1067836452"/>
        <w:bookmarkEnd w:id="2"/>
        <w:p w14:paraId="7F894ADB" w14:textId="77777777" w:rsidR="00736FCB" w:rsidRDefault="00521EE7">
          <w:pPr>
            <w:pStyle w:val="Header"/>
            <w:jc w:val="center"/>
            <w:rPr>
              <w:rFonts w:ascii="Arial" w:hAnsi="Arial" w:cs="Arial"/>
              <w:sz w:val="18"/>
              <w:szCs w:val="18"/>
            </w:rPr>
          </w:pPr>
          <w:r>
            <w:rPr>
              <w:rFonts w:ascii="Helvetica" w:hAnsi="Helvetica"/>
              <w:color w:val="000000"/>
              <w:sz w:val="20"/>
            </w:rPr>
            <w:object w:dxaOrig="2233" w:dyaOrig="973" w14:anchorId="4FC8FEF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3.6pt;height:41.4pt" o:ole="" fillcolor="window">
                <v:imagedata r:id="rId1" o:title=""/>
              </v:shape>
              <o:OLEObject Type="Embed" ProgID="Word.Picture.8" ShapeID="_x0000_i1025" DrawAspect="Content" ObjectID="_1561794017" r:id="rId2"/>
            </w:object>
          </w:r>
        </w:p>
      </w:tc>
      <w:tc>
        <w:tcPr>
          <w:tcW w:w="3060" w:type="dxa"/>
          <w:vMerge w:val="restart"/>
          <w:vAlign w:val="center"/>
        </w:tcPr>
        <w:p w14:paraId="7B33DDBD" w14:textId="47A72F72" w:rsidR="00736FCB" w:rsidRDefault="004D64BA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College of Engineering</w:t>
          </w:r>
        </w:p>
        <w:p w14:paraId="0FCEA622" w14:textId="77777777" w:rsidR="00736FCB" w:rsidRDefault="00736FCB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14:paraId="05C80D3E" w14:textId="77777777"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#</w:t>
          </w:r>
        </w:p>
      </w:tc>
      <w:tc>
        <w:tcPr>
          <w:tcW w:w="1843" w:type="dxa"/>
          <w:vAlign w:val="center"/>
        </w:tcPr>
        <w:p w14:paraId="66B0C16A" w14:textId="2DA6E8CF" w:rsidR="00736FCB" w:rsidRDefault="00211DB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PCARD</w:t>
          </w:r>
        </w:p>
      </w:tc>
    </w:tr>
    <w:tr w:rsidR="00736FCB" w14:paraId="2F093CB7" w14:textId="77777777">
      <w:trPr>
        <w:trHeight w:val="360"/>
      </w:trPr>
      <w:tc>
        <w:tcPr>
          <w:tcW w:w="1620" w:type="dxa"/>
          <w:vMerge/>
          <w:vAlign w:val="center"/>
        </w:tcPr>
        <w:p w14:paraId="56EABAAD" w14:textId="77777777"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14:paraId="06085ACA" w14:textId="77777777"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14:paraId="098FA5FE" w14:textId="77777777"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Revision #</w:t>
          </w:r>
        </w:p>
      </w:tc>
      <w:tc>
        <w:tcPr>
          <w:tcW w:w="1843" w:type="dxa"/>
          <w:vAlign w:val="center"/>
        </w:tcPr>
        <w:p w14:paraId="66DFB3FF" w14:textId="77777777"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  <w:tr w:rsidR="00736FCB" w14:paraId="137B0D53" w14:textId="77777777">
      <w:trPr>
        <w:trHeight w:val="360"/>
      </w:trPr>
      <w:tc>
        <w:tcPr>
          <w:tcW w:w="1620" w:type="dxa"/>
          <w:vMerge/>
          <w:vAlign w:val="center"/>
        </w:tcPr>
        <w:p w14:paraId="106B14B8" w14:textId="77777777"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3060" w:type="dxa"/>
          <w:vMerge/>
          <w:vAlign w:val="center"/>
        </w:tcPr>
        <w:p w14:paraId="7706A152" w14:textId="77777777"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  <w:tc>
        <w:tcPr>
          <w:tcW w:w="2700" w:type="dxa"/>
          <w:vAlign w:val="center"/>
        </w:tcPr>
        <w:p w14:paraId="5467B5C2" w14:textId="77777777"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Implementation Date</w:t>
          </w:r>
        </w:p>
      </w:tc>
      <w:tc>
        <w:tcPr>
          <w:tcW w:w="1843" w:type="dxa"/>
          <w:vAlign w:val="center"/>
        </w:tcPr>
        <w:p w14:paraId="29B4ADC4" w14:textId="5AC5CF9E" w:rsidR="00736FCB" w:rsidRDefault="005727BB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04/01/2017</w:t>
          </w:r>
        </w:p>
      </w:tc>
    </w:tr>
    <w:tr w:rsidR="00736FCB" w14:paraId="61681A03" w14:textId="77777777">
      <w:trPr>
        <w:trHeight w:val="360"/>
      </w:trPr>
      <w:tc>
        <w:tcPr>
          <w:tcW w:w="1620" w:type="dxa"/>
          <w:vAlign w:val="center"/>
        </w:tcPr>
        <w:p w14:paraId="72BAE9D0" w14:textId="77777777"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Page  #</w:t>
          </w:r>
        </w:p>
      </w:tc>
      <w:tc>
        <w:tcPr>
          <w:tcW w:w="3060" w:type="dxa"/>
          <w:vAlign w:val="center"/>
        </w:tcPr>
        <w:p w14:paraId="07A8C767" w14:textId="77777777" w:rsidR="00736FCB" w:rsidRDefault="00033649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fldChar w:fldCharType="begin"/>
          </w:r>
          <w:r>
            <w:rPr>
              <w:rFonts w:ascii="Arial" w:hAnsi="Arial" w:cs="Arial"/>
              <w:sz w:val="18"/>
              <w:szCs w:val="18"/>
            </w:rPr>
            <w:instrText xml:space="preserve"> PAGE </w:instrText>
          </w:r>
          <w:r>
            <w:rPr>
              <w:rFonts w:ascii="Arial" w:hAnsi="Arial" w:cs="Arial"/>
              <w:sz w:val="18"/>
              <w:szCs w:val="18"/>
            </w:rPr>
            <w:fldChar w:fldCharType="separate"/>
          </w:r>
          <w:r w:rsidR="004D64BA">
            <w:rPr>
              <w:rFonts w:ascii="Arial" w:hAnsi="Arial" w:cs="Arial"/>
              <w:noProof/>
              <w:sz w:val="18"/>
              <w:szCs w:val="18"/>
            </w:rPr>
            <w:t>1</w:t>
          </w:r>
          <w:r>
            <w:rPr>
              <w:rFonts w:ascii="Arial" w:hAnsi="Arial" w:cs="Arial"/>
              <w:sz w:val="18"/>
              <w:szCs w:val="18"/>
            </w:rPr>
            <w:fldChar w:fldCharType="end"/>
          </w:r>
          <w:r w:rsidR="00C31F32">
            <w:rPr>
              <w:rFonts w:ascii="Arial" w:hAnsi="Arial" w:cs="Arial"/>
              <w:sz w:val="18"/>
              <w:szCs w:val="18"/>
            </w:rPr>
            <w:t xml:space="preserve"> of </w:t>
          </w:r>
          <w:r w:rsidR="006D30D0">
            <w:rPr>
              <w:rFonts w:ascii="Arial" w:hAnsi="Arial" w:cs="Arial"/>
              <w:sz w:val="18"/>
              <w:szCs w:val="18"/>
            </w:rPr>
            <w:t>2</w:t>
          </w:r>
        </w:p>
      </w:tc>
      <w:tc>
        <w:tcPr>
          <w:tcW w:w="2700" w:type="dxa"/>
          <w:vAlign w:val="center"/>
        </w:tcPr>
        <w:p w14:paraId="70F67130" w14:textId="77777777"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Last Reviewed/Update Date</w:t>
          </w:r>
        </w:p>
      </w:tc>
      <w:tc>
        <w:tcPr>
          <w:tcW w:w="1843" w:type="dxa"/>
          <w:vAlign w:val="center"/>
        </w:tcPr>
        <w:p w14:paraId="3961362C" w14:textId="26837B46" w:rsidR="00736FCB" w:rsidRDefault="00211DB0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04/18</w:t>
          </w:r>
          <w:r w:rsidR="005727BB">
            <w:rPr>
              <w:rFonts w:ascii="Arial" w:hAnsi="Arial" w:cs="Arial"/>
              <w:sz w:val="18"/>
              <w:szCs w:val="18"/>
            </w:rPr>
            <w:t>/2017</w:t>
          </w:r>
        </w:p>
      </w:tc>
    </w:tr>
    <w:tr w:rsidR="00736FCB" w14:paraId="2F558483" w14:textId="77777777">
      <w:trPr>
        <w:trHeight w:val="360"/>
      </w:trPr>
      <w:tc>
        <w:tcPr>
          <w:tcW w:w="1620" w:type="dxa"/>
          <w:vAlign w:val="center"/>
        </w:tcPr>
        <w:p w14:paraId="71BAD1BC" w14:textId="77777777"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SOP Owner</w:t>
          </w:r>
        </w:p>
      </w:tc>
      <w:tc>
        <w:tcPr>
          <w:tcW w:w="3060" w:type="dxa"/>
          <w:vAlign w:val="center"/>
        </w:tcPr>
        <w:p w14:paraId="270D01AD" w14:textId="3296F275" w:rsidR="00736FCB" w:rsidRDefault="005727BB">
          <w:pPr>
            <w:pStyle w:val="Header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TBD</w:t>
          </w:r>
        </w:p>
      </w:tc>
      <w:tc>
        <w:tcPr>
          <w:tcW w:w="2700" w:type="dxa"/>
          <w:vAlign w:val="center"/>
        </w:tcPr>
        <w:p w14:paraId="3905FE60" w14:textId="77777777" w:rsidR="00736FCB" w:rsidRDefault="00033649">
          <w:pPr>
            <w:pStyle w:val="Header"/>
            <w:rPr>
              <w:rFonts w:ascii="Arial" w:hAnsi="Arial" w:cs="Arial"/>
              <w:b/>
              <w:bCs/>
              <w:sz w:val="18"/>
              <w:szCs w:val="18"/>
            </w:rPr>
          </w:pPr>
          <w:r>
            <w:rPr>
              <w:rFonts w:ascii="Arial" w:hAnsi="Arial" w:cs="Arial"/>
              <w:b/>
              <w:bCs/>
              <w:sz w:val="18"/>
              <w:szCs w:val="18"/>
            </w:rPr>
            <w:t>Approval</w:t>
          </w:r>
        </w:p>
      </w:tc>
      <w:tc>
        <w:tcPr>
          <w:tcW w:w="1843" w:type="dxa"/>
          <w:vAlign w:val="center"/>
        </w:tcPr>
        <w:p w14:paraId="35FC6904" w14:textId="77777777" w:rsidR="00736FCB" w:rsidRDefault="00736FCB">
          <w:pPr>
            <w:pStyle w:val="Header"/>
            <w:rPr>
              <w:rFonts w:ascii="Arial" w:hAnsi="Arial" w:cs="Arial"/>
              <w:sz w:val="18"/>
              <w:szCs w:val="18"/>
            </w:rPr>
          </w:pPr>
        </w:p>
      </w:tc>
    </w:tr>
  </w:tbl>
  <w:p w14:paraId="7EC9690E" w14:textId="77777777" w:rsidR="00736FCB" w:rsidRDefault="00736FC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F4F5F"/>
    <w:multiLevelType w:val="hybridMultilevel"/>
    <w:tmpl w:val="3572B5C8"/>
    <w:lvl w:ilvl="0" w:tplc="1AB4E964">
      <w:start w:val="1"/>
      <w:numFmt w:val="upperLetter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6977B14"/>
    <w:multiLevelType w:val="hybridMultilevel"/>
    <w:tmpl w:val="966E7B84"/>
    <w:lvl w:ilvl="0" w:tplc="CAEEA6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1251D7"/>
    <w:multiLevelType w:val="hybridMultilevel"/>
    <w:tmpl w:val="F1469C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664D37"/>
    <w:multiLevelType w:val="hybridMultilevel"/>
    <w:tmpl w:val="79620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92F09"/>
    <w:multiLevelType w:val="hybridMultilevel"/>
    <w:tmpl w:val="6E68FD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4D2D14"/>
    <w:multiLevelType w:val="hybridMultilevel"/>
    <w:tmpl w:val="31889D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80D60"/>
    <w:multiLevelType w:val="hybridMultilevel"/>
    <w:tmpl w:val="115AF7B8"/>
    <w:lvl w:ilvl="0" w:tplc="553A0A14">
      <w:start w:val="10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D2625FA"/>
    <w:multiLevelType w:val="hybridMultilevel"/>
    <w:tmpl w:val="C6846F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125B2"/>
    <w:multiLevelType w:val="hybridMultilevel"/>
    <w:tmpl w:val="CE74B8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C17AD6"/>
    <w:multiLevelType w:val="hybridMultilevel"/>
    <w:tmpl w:val="DA2EAF8A"/>
    <w:lvl w:ilvl="0" w:tplc="EE9A3F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871767B"/>
    <w:multiLevelType w:val="hybridMultilevel"/>
    <w:tmpl w:val="94C2609E"/>
    <w:lvl w:ilvl="0" w:tplc="A3A2F39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EBC6917"/>
    <w:multiLevelType w:val="hybridMultilevel"/>
    <w:tmpl w:val="AC2CA1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BC708F"/>
    <w:multiLevelType w:val="hybridMultilevel"/>
    <w:tmpl w:val="D772AE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A44BD7"/>
    <w:multiLevelType w:val="hybridMultilevel"/>
    <w:tmpl w:val="FEEC67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D65126"/>
    <w:multiLevelType w:val="hybridMultilevel"/>
    <w:tmpl w:val="2B407F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A2607A"/>
    <w:multiLevelType w:val="hybridMultilevel"/>
    <w:tmpl w:val="50A2DF2E"/>
    <w:lvl w:ilvl="0" w:tplc="E0C69E2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4"/>
  </w:num>
  <w:num w:numId="4">
    <w:abstractNumId w:val="1"/>
  </w:num>
  <w:num w:numId="5">
    <w:abstractNumId w:val="2"/>
  </w:num>
  <w:num w:numId="6">
    <w:abstractNumId w:val="4"/>
  </w:num>
  <w:num w:numId="7">
    <w:abstractNumId w:val="5"/>
  </w:num>
  <w:num w:numId="8">
    <w:abstractNumId w:val="3"/>
  </w:num>
  <w:num w:numId="9">
    <w:abstractNumId w:val="12"/>
  </w:num>
  <w:num w:numId="10">
    <w:abstractNumId w:val="15"/>
  </w:num>
  <w:num w:numId="11">
    <w:abstractNumId w:val="13"/>
  </w:num>
  <w:num w:numId="12">
    <w:abstractNumId w:val="10"/>
  </w:num>
  <w:num w:numId="13">
    <w:abstractNumId w:val="0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1EE7"/>
    <w:rsid w:val="00033649"/>
    <w:rsid w:val="00085B67"/>
    <w:rsid w:val="000A3A80"/>
    <w:rsid w:val="00171F0F"/>
    <w:rsid w:val="00211DB0"/>
    <w:rsid w:val="00267594"/>
    <w:rsid w:val="00285626"/>
    <w:rsid w:val="002B01BB"/>
    <w:rsid w:val="002D2268"/>
    <w:rsid w:val="002E0DA2"/>
    <w:rsid w:val="002F49DF"/>
    <w:rsid w:val="00346883"/>
    <w:rsid w:val="00370585"/>
    <w:rsid w:val="003A321C"/>
    <w:rsid w:val="003B5694"/>
    <w:rsid w:val="00482420"/>
    <w:rsid w:val="0049288A"/>
    <w:rsid w:val="004A1839"/>
    <w:rsid w:val="004C3D5D"/>
    <w:rsid w:val="004D64BA"/>
    <w:rsid w:val="005078FC"/>
    <w:rsid w:val="00521EE7"/>
    <w:rsid w:val="00522370"/>
    <w:rsid w:val="005526FC"/>
    <w:rsid w:val="005727BB"/>
    <w:rsid w:val="00591894"/>
    <w:rsid w:val="005A0687"/>
    <w:rsid w:val="00606C1C"/>
    <w:rsid w:val="00615184"/>
    <w:rsid w:val="00660610"/>
    <w:rsid w:val="0066749D"/>
    <w:rsid w:val="006D30D0"/>
    <w:rsid w:val="00710ED6"/>
    <w:rsid w:val="00736FCB"/>
    <w:rsid w:val="00751FAF"/>
    <w:rsid w:val="007645D5"/>
    <w:rsid w:val="00764C0E"/>
    <w:rsid w:val="00777B32"/>
    <w:rsid w:val="007918EA"/>
    <w:rsid w:val="0079452C"/>
    <w:rsid w:val="00796E6C"/>
    <w:rsid w:val="008066D2"/>
    <w:rsid w:val="008433B9"/>
    <w:rsid w:val="00867746"/>
    <w:rsid w:val="00870B87"/>
    <w:rsid w:val="00887FDE"/>
    <w:rsid w:val="0091168B"/>
    <w:rsid w:val="0094639E"/>
    <w:rsid w:val="009837E3"/>
    <w:rsid w:val="00991B09"/>
    <w:rsid w:val="009A4C25"/>
    <w:rsid w:val="009A709F"/>
    <w:rsid w:val="00A16122"/>
    <w:rsid w:val="00A30305"/>
    <w:rsid w:val="00A40387"/>
    <w:rsid w:val="00A8208A"/>
    <w:rsid w:val="00A8771A"/>
    <w:rsid w:val="00AB43BA"/>
    <w:rsid w:val="00AC344D"/>
    <w:rsid w:val="00B742F9"/>
    <w:rsid w:val="00C31F32"/>
    <w:rsid w:val="00C822B3"/>
    <w:rsid w:val="00CA6126"/>
    <w:rsid w:val="00CC777A"/>
    <w:rsid w:val="00CF190F"/>
    <w:rsid w:val="00DC47E2"/>
    <w:rsid w:val="00E038D6"/>
    <w:rsid w:val="00E43931"/>
    <w:rsid w:val="00E5209D"/>
    <w:rsid w:val="00E80A21"/>
    <w:rsid w:val="00E87A0C"/>
    <w:rsid w:val="00F34943"/>
    <w:rsid w:val="00F465FD"/>
    <w:rsid w:val="00F645D4"/>
    <w:rsid w:val="00F64D1F"/>
    <w:rsid w:val="00F7643B"/>
    <w:rsid w:val="00F9402B"/>
    <w:rsid w:val="00FB6A13"/>
    <w:rsid w:val="00FD2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,"/>
  <w14:docId w14:val="1B0B1BE0"/>
  <w15:chartTrackingRefBased/>
  <w15:docId w15:val="{B8659F16-0BBE-4D77-84EC-44F34D2AD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qFormat/>
    <w:pPr>
      <w:keepNext/>
      <w:pBdr>
        <w:bottom w:val="single" w:sz="4" w:space="1" w:color="000080"/>
      </w:pBdr>
      <w:spacing w:before="120" w:after="12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basedOn w:val="DefaultParagraphFont"/>
    <w:link w:val="Heading2"/>
    <w:rPr>
      <w:rFonts w:ascii="Arial" w:hAnsi="Arial" w:cs="Arial"/>
      <w:b/>
      <w:bCs/>
      <w:i/>
      <w:iCs/>
      <w:sz w:val="28"/>
      <w:szCs w:val="28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033649"/>
    <w:pPr>
      <w:ind w:left="720"/>
      <w:contextualSpacing/>
    </w:pPr>
  </w:style>
  <w:style w:type="character" w:styleId="Hyperlink">
    <w:name w:val="Hyperlink"/>
    <w:basedOn w:val="DefaultParagraphFont"/>
    <w:rsid w:val="00751FA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751FA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751FAF"/>
  </w:style>
  <w:style w:type="character" w:styleId="FollowedHyperlink">
    <w:name w:val="FollowedHyperlink"/>
    <w:basedOn w:val="DefaultParagraphFont"/>
    <w:rsid w:val="005526F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rsid w:val="00F349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F349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34943"/>
  </w:style>
  <w:style w:type="paragraph" w:styleId="CommentSubject">
    <w:name w:val="annotation subject"/>
    <w:basedOn w:val="CommentText"/>
    <w:next w:val="CommentText"/>
    <w:link w:val="CommentSubjectChar"/>
    <w:rsid w:val="00F349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34943"/>
    <w:rPr>
      <w:b/>
      <w:bCs/>
    </w:rPr>
  </w:style>
  <w:style w:type="paragraph" w:styleId="BalloonText">
    <w:name w:val="Balloon Text"/>
    <w:basedOn w:val="Normal"/>
    <w:link w:val="BalloonTextChar"/>
    <w:rsid w:val="00F3494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349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05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ccounting.unl.edu/PCard%20Policy%20-%20UNL%20Campus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sapphire.nebraska.edu/gm/folder-1.11.10848?mode=E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ccounting.unl.edu/Allowable%20-%20Prohibited%20items.pdf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D010B-5F99-4ED7-AA57-70FDAE0A5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369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Standard Operating Procedure</vt:lpstr>
    </vt:vector>
  </TitlesOfParts>
  <Company>user</Company>
  <LinksUpToDate>false</LinksUpToDate>
  <CharactersWithSpaces>2563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Standard Operating Procedure</dc:title>
  <dc:subject/>
  <dc:creator>user</dc:creator>
  <cp:keywords/>
  <dc:description/>
  <cp:lastModifiedBy>jbrunkow2</cp:lastModifiedBy>
  <cp:revision>2</cp:revision>
  <dcterms:created xsi:type="dcterms:W3CDTF">2017-07-17T15:54:00Z</dcterms:created>
  <dcterms:modified xsi:type="dcterms:W3CDTF">2017-07-17T15:54:00Z</dcterms:modified>
</cp:coreProperties>
</file>